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
        <w:tblW w:w="0" w:type="auto"/>
        <w:tblLook w:val="0000" w:firstRow="0" w:lastRow="0" w:firstColumn="0" w:lastColumn="0" w:noHBand="0" w:noVBand="0"/>
      </w:tblPr>
      <w:tblGrid>
        <w:gridCol w:w="1877"/>
        <w:gridCol w:w="709"/>
        <w:gridCol w:w="2693"/>
      </w:tblGrid>
      <w:tr w:rsidR="002F6A69" w:rsidRPr="00F6454D" w14:paraId="2CBBDFB5" w14:textId="77777777" w:rsidTr="0084199A">
        <w:tc>
          <w:tcPr>
            <w:tcW w:w="1877" w:type="dxa"/>
            <w:tcBorders>
              <w:top w:val="nil"/>
              <w:left w:val="nil"/>
              <w:bottom w:val="single" w:sz="4" w:space="0" w:color="auto"/>
              <w:right w:val="nil"/>
            </w:tcBorders>
          </w:tcPr>
          <w:p w14:paraId="135805C7" w14:textId="77777777" w:rsidR="002F6A69" w:rsidRPr="00F6454D" w:rsidRDefault="002F6A69" w:rsidP="00B55A9B">
            <w:pPr>
              <w:tabs>
                <w:tab w:val="left" w:pos="3960"/>
              </w:tabs>
              <w:autoSpaceDE w:val="0"/>
              <w:autoSpaceDN w:val="0"/>
              <w:adjustRightInd w:val="0"/>
              <w:ind w:firstLine="0"/>
              <w:jc w:val="left"/>
              <w:rPr>
                <w:rFonts w:eastAsia="Times New Roman" w:cs="Times New Roman"/>
                <w:iCs/>
                <w:szCs w:val="24"/>
              </w:rPr>
            </w:pPr>
            <w:r>
              <w:rPr>
                <w:rFonts w:eastAsia="Times New Roman" w:cs="Times New Roman"/>
                <w:iCs/>
                <w:szCs w:val="24"/>
              </w:rPr>
              <w:t>10.06.2024.</w:t>
            </w:r>
          </w:p>
        </w:tc>
        <w:tc>
          <w:tcPr>
            <w:tcW w:w="709" w:type="dxa"/>
            <w:tcBorders>
              <w:top w:val="nil"/>
              <w:left w:val="nil"/>
              <w:bottom w:val="nil"/>
              <w:right w:val="nil"/>
            </w:tcBorders>
          </w:tcPr>
          <w:p w14:paraId="32E258B8" w14:textId="77777777" w:rsidR="002F6A69" w:rsidRPr="00F6454D" w:rsidRDefault="002F6A69" w:rsidP="00B55A9B">
            <w:pPr>
              <w:tabs>
                <w:tab w:val="left" w:pos="360"/>
                <w:tab w:val="left" w:pos="3960"/>
              </w:tabs>
              <w:autoSpaceDE w:val="0"/>
              <w:autoSpaceDN w:val="0"/>
              <w:adjustRightInd w:val="0"/>
              <w:ind w:firstLine="0"/>
              <w:jc w:val="right"/>
              <w:rPr>
                <w:rFonts w:eastAsia="Times New Roman" w:cs="Times New Roman"/>
                <w:iCs/>
                <w:szCs w:val="24"/>
              </w:rPr>
            </w:pPr>
            <w:r w:rsidRPr="00F6454D">
              <w:rPr>
                <w:rFonts w:eastAsia="Times New Roman" w:cs="Times New Roman"/>
                <w:iCs/>
                <w:szCs w:val="24"/>
              </w:rPr>
              <w:t>Nr.</w:t>
            </w:r>
          </w:p>
        </w:tc>
        <w:tc>
          <w:tcPr>
            <w:tcW w:w="2693" w:type="dxa"/>
            <w:tcBorders>
              <w:top w:val="nil"/>
              <w:left w:val="nil"/>
              <w:bottom w:val="single" w:sz="4" w:space="0" w:color="auto"/>
              <w:right w:val="nil"/>
            </w:tcBorders>
          </w:tcPr>
          <w:p w14:paraId="307251E1" w14:textId="77777777" w:rsidR="002F6A69" w:rsidRPr="00F6454D" w:rsidRDefault="002F6A69" w:rsidP="00B55A9B">
            <w:pPr>
              <w:tabs>
                <w:tab w:val="left" w:pos="360"/>
                <w:tab w:val="left" w:pos="3960"/>
              </w:tabs>
              <w:autoSpaceDE w:val="0"/>
              <w:autoSpaceDN w:val="0"/>
              <w:adjustRightInd w:val="0"/>
              <w:ind w:right="37" w:firstLine="0"/>
              <w:jc w:val="left"/>
              <w:rPr>
                <w:rFonts w:eastAsia="Times New Roman" w:cs="Times New Roman"/>
                <w:iCs/>
                <w:szCs w:val="24"/>
              </w:rPr>
            </w:pPr>
            <w:r>
              <w:rPr>
                <w:rFonts w:eastAsia="Times New Roman" w:cs="Times New Roman"/>
                <w:iCs/>
                <w:szCs w:val="24"/>
              </w:rPr>
              <w:t>4.4</w:t>
            </w:r>
            <w:r w:rsidRPr="00F6454D">
              <w:rPr>
                <w:rFonts w:eastAsia="Times New Roman" w:cs="Times New Roman"/>
                <w:iCs/>
                <w:szCs w:val="24"/>
              </w:rPr>
              <w:t xml:space="preserve"> / </w:t>
            </w:r>
            <w:r>
              <w:rPr>
                <w:rFonts w:eastAsia="Times New Roman" w:cs="Times New Roman"/>
                <w:iCs/>
                <w:szCs w:val="24"/>
              </w:rPr>
              <w:t>10758</w:t>
            </w:r>
          </w:p>
        </w:tc>
      </w:tr>
    </w:tbl>
    <w:p w14:paraId="3E81FAB8" w14:textId="77777777" w:rsidR="00803B30" w:rsidRPr="00F6454D" w:rsidRDefault="00803B30" w:rsidP="00BE46DB">
      <w:pPr>
        <w:widowControl w:val="0"/>
        <w:tabs>
          <w:tab w:val="left" w:leader="underscore" w:pos="3326"/>
        </w:tabs>
        <w:autoSpaceDE w:val="0"/>
        <w:autoSpaceDN w:val="0"/>
        <w:adjustRightInd w:val="0"/>
        <w:spacing w:before="120" w:after="240"/>
        <w:ind w:left="1620" w:firstLine="540"/>
        <w:jc w:val="left"/>
        <w:rPr>
          <w:rFonts w:eastAsia="Times New Roman" w:cs="Times New Roman"/>
          <w:szCs w:val="20"/>
        </w:rPr>
      </w:pPr>
    </w:p>
    <w:p w14:paraId="1B7C4820" w14:textId="08B22998" w:rsidR="00803B30" w:rsidRDefault="00803B30" w:rsidP="0047259B">
      <w:pPr>
        <w:widowControl w:val="0"/>
        <w:autoSpaceDE w:val="0"/>
        <w:autoSpaceDN w:val="0"/>
        <w:adjustRightInd w:val="0"/>
        <w:ind w:firstLine="0"/>
        <w:rPr>
          <w:rFonts w:eastAsia="Times New Roman" w:cs="Times New Roman"/>
          <w:iCs/>
          <w:szCs w:val="24"/>
        </w:rPr>
      </w:pPr>
    </w:p>
    <w:p w14:paraId="6C7B22B1" w14:textId="77777777" w:rsidR="001B72A5" w:rsidRPr="001B72A5" w:rsidRDefault="001B72A5" w:rsidP="009B7DCC">
      <w:pPr>
        <w:spacing w:before="60" w:line="360" w:lineRule="auto"/>
        <w:ind w:firstLine="0"/>
        <w:jc w:val="center"/>
        <w:rPr>
          <w:rFonts w:cs="Times New Roman"/>
          <w:b/>
          <w:bCs/>
          <w:color w:val="000000" w:themeColor="text1"/>
          <w:szCs w:val="24"/>
          <w:lang w:eastAsia="lv-LV"/>
        </w:rPr>
      </w:pPr>
      <w:bookmarkStart w:id="0" w:name="sagatave"/>
      <w:r w:rsidRPr="001B72A5">
        <w:rPr>
          <w:rFonts w:cs="Times New Roman"/>
          <w:b/>
          <w:bCs/>
          <w:color w:val="000000" w:themeColor="text1"/>
          <w:szCs w:val="24"/>
          <w:lang w:eastAsia="lv-LV"/>
        </w:rPr>
        <w:t>PRIEKŠLIKUMI</w:t>
      </w:r>
    </w:p>
    <w:p w14:paraId="4AEED437" w14:textId="6339B3A5" w:rsidR="001B72A5" w:rsidRPr="001B72A5" w:rsidRDefault="009B7DCC" w:rsidP="001B72A5">
      <w:pPr>
        <w:ind w:firstLine="0"/>
        <w:jc w:val="center"/>
        <w:rPr>
          <w:rFonts w:cs="Times New Roman"/>
          <w:color w:val="000000" w:themeColor="text1"/>
          <w:szCs w:val="24"/>
          <w14:ligatures w14:val="standardContextual"/>
        </w:rPr>
      </w:pPr>
      <w:r>
        <w:rPr>
          <w:rFonts w:cs="Times New Roman"/>
          <w:color w:val="000000" w:themeColor="text1"/>
          <w:szCs w:val="24"/>
          <w14:ligatures w14:val="standardContextual"/>
        </w:rPr>
        <w:t xml:space="preserve">        </w:t>
      </w:r>
      <w:r w:rsidR="001B72A5" w:rsidRPr="001B72A5">
        <w:rPr>
          <w:rFonts w:cs="Times New Roman"/>
          <w:color w:val="000000" w:themeColor="text1"/>
          <w:szCs w:val="24"/>
          <w14:ligatures w14:val="standardContextual"/>
        </w:rPr>
        <w:t xml:space="preserve">paredzētajai darbībai - vēja elektrostaciju parka „Kurzeme” un ar to saistītās infrastruktūras </w:t>
      </w:r>
    </w:p>
    <w:p w14:paraId="47501BD2" w14:textId="137C4F5E" w:rsidR="001B72A5" w:rsidRPr="001B72A5" w:rsidRDefault="009B7DCC" w:rsidP="001B72A5">
      <w:pPr>
        <w:ind w:firstLine="0"/>
        <w:jc w:val="center"/>
        <w:rPr>
          <w:rFonts w:cs="Times New Roman"/>
          <w:color w:val="000000" w:themeColor="text1"/>
          <w:szCs w:val="24"/>
          <w14:ligatures w14:val="standardContextual"/>
        </w:rPr>
      </w:pPr>
      <w:r>
        <w:rPr>
          <w:rFonts w:cs="Times New Roman"/>
          <w:color w:val="000000" w:themeColor="text1"/>
          <w:szCs w:val="24"/>
          <w14:ligatures w14:val="standardContextual"/>
        </w:rPr>
        <w:t xml:space="preserve">        </w:t>
      </w:r>
      <w:r w:rsidR="001B72A5" w:rsidRPr="001B72A5">
        <w:rPr>
          <w:rFonts w:cs="Times New Roman"/>
          <w:color w:val="000000" w:themeColor="text1"/>
          <w:szCs w:val="24"/>
          <w14:ligatures w14:val="standardContextual"/>
        </w:rPr>
        <w:t xml:space="preserve">būvniecībai Saldus novada Zirņu un Pampāļu pagastos un Kuldīgas novada Skrundas pagastā </w:t>
      </w:r>
    </w:p>
    <w:p w14:paraId="674818F5" w14:textId="77777777" w:rsidR="001B72A5" w:rsidRPr="001B72A5" w:rsidRDefault="001B72A5" w:rsidP="001B72A5">
      <w:pPr>
        <w:ind w:firstLine="0"/>
        <w:jc w:val="center"/>
        <w:rPr>
          <w:rFonts w:cs="Times New Roman"/>
          <w:color w:val="000000" w:themeColor="text1"/>
          <w:szCs w:val="24"/>
          <w14:ligatures w14:val="standardContextual"/>
        </w:rPr>
      </w:pPr>
      <w:r w:rsidRPr="001B72A5">
        <w:rPr>
          <w:rFonts w:cs="Times New Roman"/>
          <w:color w:val="000000" w:themeColor="text1"/>
          <w:szCs w:val="24"/>
          <w14:ligatures w14:val="standardContextual"/>
        </w:rPr>
        <w:t>(ietekmes uz vidi novērtējumam)</w:t>
      </w:r>
    </w:p>
    <w:p w14:paraId="53F26EC1" w14:textId="77777777" w:rsidR="001B72A5" w:rsidRPr="001B72A5" w:rsidRDefault="001B72A5" w:rsidP="001B72A5">
      <w:pPr>
        <w:ind w:firstLine="0"/>
        <w:rPr>
          <w:rFonts w:cs="Times New Roman"/>
          <w:color w:val="000000" w:themeColor="text1"/>
          <w:szCs w:val="24"/>
          <w14:ligatures w14:val="standardContextual"/>
        </w:rPr>
      </w:pPr>
    </w:p>
    <w:p w14:paraId="168FD6B4" w14:textId="77777777" w:rsidR="001B72A5" w:rsidRPr="001B72A5" w:rsidRDefault="001B72A5" w:rsidP="001B72A5">
      <w:pPr>
        <w:ind w:left="567" w:firstLine="0"/>
        <w:rPr>
          <w:rFonts w:cs="Times New Roman"/>
          <w:color w:val="000000" w:themeColor="text1"/>
          <w:szCs w:val="24"/>
          <w14:ligatures w14:val="standardContextual"/>
        </w:rPr>
      </w:pPr>
      <w:r w:rsidRPr="001B72A5">
        <w:rPr>
          <w:rFonts w:cs="Times New Roman"/>
          <w:b/>
          <w:bCs/>
          <w:color w:val="000000" w:themeColor="text1"/>
          <w:szCs w:val="24"/>
          <w14:ligatures w14:val="standardContextual"/>
        </w:rPr>
        <w:t>Priekšlikumi izdoti:</w:t>
      </w:r>
      <w:r w:rsidRPr="001B72A5">
        <w:rPr>
          <w:rFonts w:cs="Times New Roman"/>
          <w:color w:val="000000" w:themeColor="text1"/>
          <w:szCs w:val="24"/>
          <w14:ligatures w14:val="standardContextual"/>
        </w:rPr>
        <w:t xml:space="preserve"> SIA „Sunly Land Solar” (reģ. Nr. 40203403221), Biroju iela 10, Lidosta „Rīga”, Mārupes pagasts, Mārupes novads, LV-1053, e-pasts: info@sunly.lv; liene.goba@sunly.lv</w:t>
      </w:r>
    </w:p>
    <w:p w14:paraId="71AFEE6A" w14:textId="77777777" w:rsidR="001B72A5" w:rsidRPr="001B72A5" w:rsidRDefault="001B72A5" w:rsidP="001B72A5">
      <w:pPr>
        <w:ind w:left="567" w:firstLine="0"/>
        <w:rPr>
          <w:rFonts w:cs="Times New Roman"/>
          <w:b/>
          <w:bCs/>
          <w:color w:val="000000" w:themeColor="text1"/>
          <w:szCs w:val="24"/>
          <w14:ligatures w14:val="standardContextual"/>
        </w:rPr>
      </w:pPr>
      <w:r w:rsidRPr="001B72A5">
        <w:rPr>
          <w:rFonts w:cs="Times New Roman"/>
          <w:b/>
          <w:bCs/>
          <w:color w:val="000000" w:themeColor="text1"/>
          <w:szCs w:val="24"/>
          <w14:ligatures w14:val="standardContextual"/>
        </w:rPr>
        <w:t>Priekšlikumi:</w:t>
      </w:r>
    </w:p>
    <w:p w14:paraId="055A5FC2" w14:textId="77777777" w:rsidR="001B72A5" w:rsidRPr="001B72A5" w:rsidRDefault="001B72A5" w:rsidP="001B72A5">
      <w:pPr>
        <w:numPr>
          <w:ilvl w:val="0"/>
          <w:numId w:val="6"/>
        </w:numPr>
        <w:rPr>
          <w:rFonts w:cs="Times New Roman"/>
          <w:color w:val="000000" w:themeColor="text1"/>
          <w:szCs w:val="24"/>
        </w:rPr>
      </w:pPr>
      <w:r w:rsidRPr="001B72A5">
        <w:rPr>
          <w:rFonts w:cs="Times New Roman"/>
          <w:color w:val="000000" w:themeColor="text1"/>
          <w:szCs w:val="24"/>
        </w:rPr>
        <w:t>Vēja elektrostaciju (turpmāk - VES) novietojumu no valsts autoceļu asīm paredzēt ne tuvāk par 1,5 kārtīgu maksimālo vēja elektrostaciju augstumu.</w:t>
      </w:r>
    </w:p>
    <w:p w14:paraId="771843B4" w14:textId="77777777" w:rsidR="001B72A5" w:rsidRPr="001B72A5" w:rsidRDefault="001B72A5" w:rsidP="001B72A5">
      <w:pPr>
        <w:widowControl w:val="0"/>
        <w:numPr>
          <w:ilvl w:val="0"/>
          <w:numId w:val="6"/>
        </w:numPr>
        <w:autoSpaceDE w:val="0"/>
        <w:autoSpaceDN w:val="0"/>
        <w:adjustRightInd w:val="0"/>
        <w:rPr>
          <w:rFonts w:eastAsia="Times New Roman" w:cs="Times New Roman"/>
          <w:color w:val="000000" w:themeColor="text1"/>
          <w:szCs w:val="24"/>
          <w14:ligatures w14:val="standardContextual"/>
        </w:rPr>
      </w:pPr>
      <w:r w:rsidRPr="001B72A5">
        <w:rPr>
          <w:rFonts w:eastAsia="Times New Roman" w:cs="Times New Roman"/>
          <w:color w:val="000000" w:themeColor="text1"/>
          <w:szCs w:val="24"/>
          <w14:ligatures w14:val="standardContextual"/>
        </w:rPr>
        <w:t>Ņemt vērā, ka ar teritoriju robežojas valsts reģionālais autoceļš P107 Skrunda–Ezere (ar izpētes teritorijā iekļauto zemes gabala daļu no kopējās zemes vienības -  arī valsts galvenais autoceļš A9 Rīga (Skulte)–Liepāja).</w:t>
      </w:r>
    </w:p>
    <w:p w14:paraId="78EA535D" w14:textId="77777777" w:rsidR="001B72A5" w:rsidRPr="001B72A5" w:rsidRDefault="001B72A5" w:rsidP="001B72A5">
      <w:pPr>
        <w:numPr>
          <w:ilvl w:val="0"/>
          <w:numId w:val="6"/>
        </w:numPr>
        <w:rPr>
          <w:rFonts w:cs="Times New Roman"/>
          <w:color w:val="000000" w:themeColor="text1"/>
          <w:szCs w:val="24"/>
        </w:rPr>
      </w:pPr>
      <w:r w:rsidRPr="001B72A5">
        <w:rPr>
          <w:rFonts w:cs="Times New Roman"/>
          <w:color w:val="000000" w:themeColor="text1"/>
          <w:szCs w:val="24"/>
        </w:rPr>
        <w:t xml:space="preserve">Izmantot esošos pievienojumus valsts autoceļiem, VSIA „Latvijas Valsts ceļi” (turpmāk – LVC) izveidoto valsts autoceļu ceļu pievienojumu reģistru un reģistrā noteiktās ceļu pievienojumu kategorijas atbilstoši Ministru kabineta 2008.gada 7. jūlija noteikumiem Nr. 505. „Noteikumi par pašvaldību, komersantu un māju ceļu pievienošanu valsts autoceļiem” norādot tos grafiskajā daļā. Ja nepieciešams izveidot jaunus pievienojumus valsts autoceļam, tos plānot atbilstoši minētajiem  noteikumiem. </w:t>
      </w:r>
    </w:p>
    <w:p w14:paraId="508D041B" w14:textId="77777777" w:rsidR="001B72A5" w:rsidRPr="001B72A5" w:rsidRDefault="001B72A5" w:rsidP="001B72A5">
      <w:pPr>
        <w:numPr>
          <w:ilvl w:val="0"/>
          <w:numId w:val="6"/>
        </w:numPr>
        <w:rPr>
          <w:rFonts w:cs="Times New Roman"/>
          <w:color w:val="000000" w:themeColor="text1"/>
          <w:szCs w:val="24"/>
        </w:rPr>
      </w:pPr>
      <w:r w:rsidRPr="001B72A5">
        <w:rPr>
          <w:rFonts w:cs="Times New Roman"/>
          <w:color w:val="000000" w:themeColor="text1"/>
          <w:szCs w:val="24"/>
        </w:rPr>
        <w:t>Plānojot būvmateriālu un VES piegāžu maršrutus, ņemt vērā esošo valsts autoceļu stāvokli, masas un gabarītu ierobežojumus, kā arī ņemt vērā to, ka, ja LVC konstatē valsts autoceļa bojājumus, nekavējoties var tikt uzstādītas masas ierobežojuma ceļa zīmes, līdz ar ko smagsvara pārvadājumus ieteicams plānot vasaras periodā no maija līdz septembrim, vai ilgstoša sasaluma laikā, kad autoceļu nestspēja ir visaugstākā.</w:t>
      </w:r>
    </w:p>
    <w:p w14:paraId="4CE35A3F" w14:textId="77777777" w:rsidR="001B72A5" w:rsidRPr="001B72A5" w:rsidRDefault="001B72A5" w:rsidP="001B72A5">
      <w:pPr>
        <w:numPr>
          <w:ilvl w:val="0"/>
          <w:numId w:val="6"/>
        </w:numPr>
        <w:rPr>
          <w:rFonts w:cs="Times New Roman"/>
          <w:color w:val="000000" w:themeColor="text1"/>
          <w:szCs w:val="24"/>
        </w:rPr>
      </w:pPr>
      <w:r w:rsidRPr="001B72A5">
        <w:rPr>
          <w:rFonts w:cs="Times New Roman"/>
          <w:color w:val="000000" w:themeColor="text1"/>
          <w:szCs w:val="24"/>
        </w:rPr>
        <w:t>Plānojot apbūvi un ar to saistītas transporta plūsmas, ņemt vērā to, ka plānotie risinājumi nevar pasliktināt braukšanas apstākļus uz valsts vietējiem autoceļiem, kura funkcija ir tranzīta satiksmes nodrošināšana.</w:t>
      </w:r>
    </w:p>
    <w:p w14:paraId="490A05F1" w14:textId="77777777" w:rsidR="001B72A5" w:rsidRPr="001B72A5" w:rsidRDefault="001B72A5" w:rsidP="001B72A5">
      <w:pPr>
        <w:numPr>
          <w:ilvl w:val="0"/>
          <w:numId w:val="6"/>
        </w:numPr>
        <w:rPr>
          <w:rFonts w:cs="Times New Roman"/>
          <w:color w:val="000000" w:themeColor="text1"/>
          <w:szCs w:val="24"/>
          <w14:ligatures w14:val="standardContextual"/>
        </w:rPr>
      </w:pPr>
      <w:r w:rsidRPr="001B72A5">
        <w:rPr>
          <w:rFonts w:cs="Times New Roman"/>
          <w:color w:val="000000" w:themeColor="text1"/>
          <w:szCs w:val="24"/>
          <w14:ligatures w14:val="standardContextual"/>
        </w:rPr>
        <w:t>Ņemt vērā, ka LVC nepiekrīt valsts autoceļu zemes nodalījuma joslu izmantošanai inženierkomunikāciju izvietošanai, to izvietošanu pieļaujams veikt ārpus valsts autoceļu zemes nodalījuma joslām.</w:t>
      </w:r>
    </w:p>
    <w:p w14:paraId="2092CD56" w14:textId="77777777" w:rsidR="001B72A5" w:rsidRPr="001B72A5" w:rsidRDefault="001B72A5" w:rsidP="001B72A5">
      <w:pPr>
        <w:numPr>
          <w:ilvl w:val="0"/>
          <w:numId w:val="6"/>
        </w:numPr>
        <w:rPr>
          <w:rFonts w:cs="Times New Roman"/>
          <w:color w:val="000000" w:themeColor="text1"/>
          <w:szCs w:val="24"/>
          <w14:ligatures w14:val="standardContextual"/>
        </w:rPr>
      </w:pPr>
      <w:r w:rsidRPr="001B72A5">
        <w:rPr>
          <w:rFonts w:cs="Times New Roman"/>
          <w:color w:val="000000" w:themeColor="text1"/>
          <w:szCs w:val="24"/>
          <w14:ligatures w14:val="standardContextual"/>
        </w:rPr>
        <w:t xml:space="preserve">Aicinām informēt LVC par ziņojuma par ietekmes novērtējumu sabiedrisko apspriešanu. </w:t>
      </w:r>
    </w:p>
    <w:p w14:paraId="2BC9042D" w14:textId="77777777" w:rsidR="001B72A5" w:rsidRPr="001B72A5" w:rsidRDefault="001B72A5" w:rsidP="001B72A5">
      <w:pPr>
        <w:rPr>
          <w:rFonts w:cs="Times New Roman"/>
          <w:b/>
          <w:bCs/>
          <w:color w:val="000000" w:themeColor="text1"/>
          <w:szCs w:val="24"/>
        </w:rPr>
      </w:pPr>
      <w:r w:rsidRPr="001B72A5">
        <w:rPr>
          <w:rFonts w:cs="Times New Roman"/>
          <w:b/>
          <w:bCs/>
          <w:color w:val="000000" w:themeColor="text1"/>
          <w:szCs w:val="24"/>
        </w:rPr>
        <w:t>Priekšlikumi izdoti pamatojoties uz:</w:t>
      </w:r>
    </w:p>
    <w:p w14:paraId="59B1F2EF" w14:textId="77777777" w:rsidR="001B72A5" w:rsidRPr="001B72A5" w:rsidRDefault="001B72A5" w:rsidP="001B72A5">
      <w:pPr>
        <w:numPr>
          <w:ilvl w:val="0"/>
          <w:numId w:val="7"/>
        </w:numPr>
        <w:rPr>
          <w:rFonts w:cs="Times New Roman"/>
          <w:color w:val="000000" w:themeColor="text1"/>
          <w:szCs w:val="24"/>
        </w:rPr>
      </w:pPr>
      <w:r w:rsidRPr="001B72A5">
        <w:rPr>
          <w:rFonts w:cs="Times New Roman"/>
          <w:color w:val="000000" w:themeColor="text1"/>
          <w:szCs w:val="24"/>
          <w14:ligatures w14:val="standardContextual"/>
        </w:rPr>
        <w:t>SIA „Sunly Land Solar” 2024. gada 27. maija iesniegumu Nr. 3.2/2024/14.</w:t>
      </w:r>
    </w:p>
    <w:p w14:paraId="1AC1AAB2" w14:textId="77777777" w:rsidR="001B72A5" w:rsidRPr="001B72A5" w:rsidRDefault="001B72A5" w:rsidP="001B72A5">
      <w:pPr>
        <w:numPr>
          <w:ilvl w:val="0"/>
          <w:numId w:val="7"/>
        </w:numPr>
        <w:rPr>
          <w:rFonts w:cs="Times New Roman"/>
          <w:color w:val="000000" w:themeColor="text1"/>
          <w:szCs w:val="24"/>
        </w:rPr>
      </w:pPr>
      <w:r w:rsidRPr="001B72A5">
        <w:rPr>
          <w:rFonts w:cs="Times New Roman"/>
          <w:color w:val="000000" w:themeColor="text1"/>
          <w:szCs w:val="24"/>
        </w:rPr>
        <w:t>Likuma „Par autoceļiem” 7. panta trešo daļu.</w:t>
      </w:r>
    </w:p>
    <w:p w14:paraId="12BE2969" w14:textId="77777777" w:rsidR="001B72A5" w:rsidRPr="001B72A5" w:rsidRDefault="001B72A5" w:rsidP="001B72A5">
      <w:pPr>
        <w:numPr>
          <w:ilvl w:val="0"/>
          <w:numId w:val="7"/>
        </w:numPr>
        <w:rPr>
          <w:rFonts w:cs="Times New Roman"/>
          <w:color w:val="000000" w:themeColor="text1"/>
          <w:szCs w:val="24"/>
        </w:rPr>
      </w:pPr>
      <w:r w:rsidRPr="001B72A5">
        <w:rPr>
          <w:rFonts w:cs="Times New Roman"/>
          <w:color w:val="000000" w:themeColor="text1"/>
          <w:szCs w:val="24"/>
        </w:rPr>
        <w:t xml:space="preserve">Aizsargjoslu likumu. </w:t>
      </w:r>
    </w:p>
    <w:p w14:paraId="24476435" w14:textId="77777777" w:rsidR="001B72A5" w:rsidRPr="001B72A5" w:rsidRDefault="001B72A5" w:rsidP="001B72A5">
      <w:pPr>
        <w:numPr>
          <w:ilvl w:val="0"/>
          <w:numId w:val="7"/>
        </w:numPr>
        <w:rPr>
          <w:rFonts w:cs="Times New Roman"/>
          <w:color w:val="000000" w:themeColor="text1"/>
          <w:szCs w:val="24"/>
        </w:rPr>
      </w:pPr>
      <w:r w:rsidRPr="001B72A5">
        <w:rPr>
          <w:rFonts w:cs="Times New Roman"/>
          <w:color w:val="000000" w:themeColor="text1"/>
          <w:szCs w:val="24"/>
        </w:rPr>
        <w:t>Ministru kabineta 2008.gada 7. jūlija noteikumiem Nr. 505. „Noteikumi par pašvaldību, komersantu un māju ceļu pievienošanu valsts autoceļiem”.</w:t>
      </w:r>
    </w:p>
    <w:p w14:paraId="61DC0E88" w14:textId="77777777" w:rsidR="001B72A5" w:rsidRPr="001B72A5" w:rsidRDefault="001B72A5" w:rsidP="001B72A5">
      <w:pPr>
        <w:numPr>
          <w:ilvl w:val="0"/>
          <w:numId w:val="7"/>
        </w:numPr>
        <w:rPr>
          <w:rFonts w:cs="Times New Roman"/>
          <w:color w:val="000000" w:themeColor="text1"/>
          <w:szCs w:val="24"/>
        </w:rPr>
      </w:pPr>
      <w:r w:rsidRPr="001B72A5">
        <w:rPr>
          <w:rFonts w:cs="Times New Roman"/>
          <w:color w:val="000000" w:themeColor="text1"/>
          <w:szCs w:val="24"/>
        </w:rPr>
        <w:t>Likumu „Par ietekmes uz vidi novērtējumu”.</w:t>
      </w:r>
    </w:p>
    <w:bookmarkEnd w:id="0"/>
    <w:p w14:paraId="6CFC35C6" w14:textId="77777777" w:rsidR="00803B30" w:rsidRPr="0084199A" w:rsidRDefault="00803B30" w:rsidP="0047259B">
      <w:pPr>
        <w:widowControl w:val="0"/>
        <w:autoSpaceDE w:val="0"/>
        <w:autoSpaceDN w:val="0"/>
        <w:adjustRightInd w:val="0"/>
        <w:ind w:firstLine="0"/>
        <w:rPr>
          <w:rFonts w:eastAsia="Times New Roman" w:cs="Times New Roman"/>
          <w:iCs/>
          <w:szCs w:val="24"/>
        </w:rPr>
      </w:pPr>
    </w:p>
    <w:p w14:paraId="22A7CB91" w14:textId="77777777" w:rsidR="00803B30" w:rsidRPr="0084199A" w:rsidRDefault="00803B30" w:rsidP="0047259B">
      <w:pPr>
        <w:widowControl w:val="0"/>
        <w:autoSpaceDE w:val="0"/>
        <w:autoSpaceDN w:val="0"/>
        <w:adjustRightInd w:val="0"/>
        <w:ind w:firstLine="0"/>
        <w:rPr>
          <w:rFonts w:eastAsia="Times New Roman" w:cs="Times New Roman"/>
          <w:iCs/>
          <w:szCs w:val="24"/>
        </w:rPr>
      </w:pPr>
    </w:p>
    <w:tbl>
      <w:tblPr>
        <w:tblStyle w:val="Reatabula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3544"/>
      </w:tblGrid>
      <w:tr w:rsidR="00803B30" w:rsidRPr="000A4077" w14:paraId="4AE90059" w14:textId="77777777" w:rsidTr="00B55A9B">
        <w:tc>
          <w:tcPr>
            <w:tcW w:w="4395" w:type="dxa"/>
          </w:tcPr>
          <w:p w14:paraId="1A393D0A" w14:textId="77777777" w:rsidR="00803B30" w:rsidRPr="000A4077" w:rsidRDefault="00803B30" w:rsidP="00B55A9B">
            <w:pPr>
              <w:widowControl w:val="0"/>
              <w:autoSpaceDE w:val="0"/>
              <w:autoSpaceDN w:val="0"/>
              <w:adjustRightInd w:val="0"/>
              <w:rPr>
                <w:i/>
                <w:iCs/>
                <w:sz w:val="24"/>
                <w:szCs w:val="24"/>
              </w:rPr>
            </w:pPr>
            <w:bookmarkStart w:id="1" w:name="amats"/>
            <w:r>
              <w:rPr>
                <w:iCs/>
                <w:sz w:val="24"/>
                <w:szCs w:val="24"/>
              </w:rPr>
              <w:t>Kurzemes reģionālās nodaļas vadītāja vietnieks</w:t>
            </w:r>
            <w:bookmarkEnd w:id="1"/>
          </w:p>
        </w:tc>
        <w:tc>
          <w:tcPr>
            <w:tcW w:w="1984" w:type="dxa"/>
          </w:tcPr>
          <w:p w14:paraId="20E7676D" w14:textId="77777777" w:rsidR="00803B30" w:rsidRPr="000A4077" w:rsidRDefault="00803B30" w:rsidP="00B55A9B">
            <w:pPr>
              <w:widowControl w:val="0"/>
              <w:autoSpaceDE w:val="0"/>
              <w:autoSpaceDN w:val="0"/>
              <w:adjustRightInd w:val="0"/>
              <w:jc w:val="center"/>
              <w:rPr>
                <w:i/>
                <w:iCs/>
                <w:sz w:val="24"/>
                <w:szCs w:val="24"/>
              </w:rPr>
            </w:pPr>
          </w:p>
        </w:tc>
        <w:tc>
          <w:tcPr>
            <w:tcW w:w="3544" w:type="dxa"/>
            <w:vAlign w:val="bottom"/>
          </w:tcPr>
          <w:p w14:paraId="68777C50" w14:textId="5B1A2F00" w:rsidR="00803B30" w:rsidRPr="000A4077" w:rsidRDefault="003F69BE" w:rsidP="00B55A9B">
            <w:pPr>
              <w:widowControl w:val="0"/>
              <w:autoSpaceDE w:val="0"/>
              <w:autoSpaceDN w:val="0"/>
              <w:adjustRightInd w:val="0"/>
              <w:jc w:val="right"/>
              <w:rPr>
                <w:i/>
                <w:iCs/>
                <w:sz w:val="24"/>
                <w:szCs w:val="24"/>
              </w:rPr>
            </w:pPr>
            <w:r>
              <w:rPr>
                <w:iCs/>
                <w:sz w:val="24"/>
                <w:szCs w:val="24"/>
              </w:rPr>
              <w:t xml:space="preserve">  </w:t>
            </w:r>
            <w:bookmarkStart w:id="2" w:name="parak_nos"/>
            <w:r>
              <w:rPr>
                <w:iCs/>
                <w:sz w:val="24"/>
                <w:szCs w:val="24"/>
              </w:rPr>
              <w:t>A. Gailums</w:t>
            </w:r>
            <w:bookmarkEnd w:id="2"/>
          </w:p>
        </w:tc>
      </w:tr>
      <w:tr w:rsidR="00803B30" w:rsidRPr="000A4077" w14:paraId="210B1E4E" w14:textId="77777777" w:rsidTr="00B55A9B">
        <w:tc>
          <w:tcPr>
            <w:tcW w:w="4395" w:type="dxa"/>
          </w:tcPr>
          <w:p w14:paraId="67BF36C3" w14:textId="77777777" w:rsidR="00803B30" w:rsidRPr="000A4077" w:rsidRDefault="00803B30" w:rsidP="00B55A9B">
            <w:pPr>
              <w:widowControl w:val="0"/>
              <w:autoSpaceDE w:val="0"/>
              <w:autoSpaceDN w:val="0"/>
              <w:adjustRightInd w:val="0"/>
              <w:rPr>
                <w:i/>
                <w:iCs/>
                <w:sz w:val="24"/>
                <w:szCs w:val="24"/>
              </w:rPr>
            </w:pPr>
          </w:p>
        </w:tc>
        <w:tc>
          <w:tcPr>
            <w:tcW w:w="1984" w:type="dxa"/>
          </w:tcPr>
          <w:p w14:paraId="2DA4CE47" w14:textId="77777777" w:rsidR="00803B30" w:rsidRPr="000A4077" w:rsidRDefault="00803B30" w:rsidP="00B55A9B">
            <w:pPr>
              <w:widowControl w:val="0"/>
              <w:autoSpaceDE w:val="0"/>
              <w:autoSpaceDN w:val="0"/>
              <w:adjustRightInd w:val="0"/>
              <w:jc w:val="right"/>
              <w:rPr>
                <w:i/>
                <w:iCs/>
                <w:sz w:val="24"/>
                <w:szCs w:val="24"/>
              </w:rPr>
            </w:pPr>
          </w:p>
        </w:tc>
        <w:tc>
          <w:tcPr>
            <w:tcW w:w="3544" w:type="dxa"/>
            <w:vAlign w:val="bottom"/>
          </w:tcPr>
          <w:p w14:paraId="268A41CD" w14:textId="77777777" w:rsidR="00803B30" w:rsidRPr="000A4077" w:rsidRDefault="00803B30" w:rsidP="00B55A9B">
            <w:pPr>
              <w:widowControl w:val="0"/>
              <w:autoSpaceDE w:val="0"/>
              <w:autoSpaceDN w:val="0"/>
              <w:adjustRightInd w:val="0"/>
              <w:rPr>
                <w:i/>
                <w:iCs/>
                <w:sz w:val="24"/>
                <w:szCs w:val="24"/>
              </w:rPr>
            </w:pPr>
          </w:p>
        </w:tc>
      </w:tr>
    </w:tbl>
    <w:p w14:paraId="42965F17" w14:textId="77777777" w:rsidR="00803B30" w:rsidRPr="000A4077" w:rsidRDefault="00803B30" w:rsidP="00803B30">
      <w:pPr>
        <w:widowControl w:val="0"/>
        <w:autoSpaceDE w:val="0"/>
        <w:autoSpaceDN w:val="0"/>
        <w:adjustRightInd w:val="0"/>
        <w:ind w:firstLine="0"/>
        <w:jc w:val="left"/>
        <w:rPr>
          <w:rFonts w:eastAsia="Times New Roman" w:cs="Times New Roman"/>
          <w:iCs/>
          <w:szCs w:val="24"/>
        </w:rPr>
      </w:pPr>
    </w:p>
    <w:tbl>
      <w:tblPr>
        <w:tblpPr w:leftFromText="180" w:rightFromText="180" w:vertAnchor="text" w:tblpY="12"/>
        <w:tblW w:w="0" w:type="auto"/>
        <w:tblLook w:val="04A0" w:firstRow="1" w:lastRow="0" w:firstColumn="1" w:lastColumn="0" w:noHBand="0" w:noVBand="1"/>
      </w:tblPr>
      <w:tblGrid>
        <w:gridCol w:w="9072"/>
      </w:tblGrid>
      <w:tr w:rsidR="00803B30" w:rsidRPr="000A4077" w14:paraId="71282E4D" w14:textId="77777777" w:rsidTr="00B55A9B">
        <w:trPr>
          <w:cantSplit/>
          <w:trHeight w:val="579"/>
        </w:trPr>
        <w:tc>
          <w:tcPr>
            <w:tcW w:w="9072" w:type="dxa"/>
          </w:tcPr>
          <w:tbl>
            <w:tblPr>
              <w:tblW w:w="0" w:type="auto"/>
              <w:tblInd w:w="567" w:type="dxa"/>
              <w:tblLook w:val="04A0" w:firstRow="1" w:lastRow="0" w:firstColumn="1" w:lastColumn="0" w:noHBand="0" w:noVBand="1"/>
            </w:tblPr>
            <w:tblGrid>
              <w:gridCol w:w="7793"/>
            </w:tblGrid>
            <w:tr w:rsidR="00803B30" w:rsidRPr="000A4077" w14:paraId="0AA08A23" w14:textId="77777777" w:rsidTr="00B55A9B">
              <w:trPr>
                <w:cantSplit/>
                <w:trHeight w:val="207"/>
              </w:trPr>
              <w:tc>
                <w:tcPr>
                  <w:tcW w:w="7793" w:type="dxa"/>
                </w:tcPr>
                <w:p w14:paraId="1DCADD82" w14:textId="77777777" w:rsidR="00803B30" w:rsidRPr="000A4077" w:rsidRDefault="00803B30" w:rsidP="00B55A9B">
                  <w:pPr>
                    <w:framePr w:hSpace="180" w:wrap="around" w:vAnchor="text" w:hAnchor="text" w:y="12"/>
                    <w:widowControl w:val="0"/>
                    <w:ind w:left="102" w:firstLine="0"/>
                    <w:jc w:val="left"/>
                    <w:rPr>
                      <w:rFonts w:eastAsia="Times New Roman" w:cs="Times New Roman"/>
                      <w:szCs w:val="24"/>
                      <w:lang w:eastAsia="lv-LV"/>
                    </w:rPr>
                  </w:pPr>
                  <w:bookmarkStart w:id="3" w:name="edoc_info" w:colFirst="0" w:colLast="0"/>
                  <w:r>
                    <w:rPr>
                      <w:rFonts w:eastAsia="Times New Roman" w:cs="Times New Roman"/>
                      <w:szCs w:val="24"/>
                      <w:lang w:eastAsia="lv-LV"/>
                    </w:rPr>
                    <w:t>D</w:t>
                  </w:r>
                  <w:r w:rsidRPr="000A4077">
                    <w:rPr>
                      <w:rFonts w:eastAsia="Times New Roman" w:cs="Times New Roman"/>
                      <w:szCs w:val="24"/>
                      <w:lang w:eastAsia="lv-LV"/>
                    </w:rPr>
                    <w:t>okuments ir parakstīts ar drošu elektronisko parakstu un satur laika</w:t>
                  </w:r>
                  <w:r>
                    <w:rPr>
                      <w:rFonts w:eastAsia="Times New Roman" w:cs="Times New Roman"/>
                      <w:szCs w:val="24"/>
                      <w:lang w:eastAsia="lv-LV"/>
                    </w:rPr>
                    <w:t xml:space="preserve"> </w:t>
                  </w:r>
                  <w:r w:rsidRPr="000A4077">
                    <w:rPr>
                      <w:rFonts w:eastAsia="Times New Roman" w:cs="Times New Roman"/>
                      <w:szCs w:val="24"/>
                      <w:lang w:eastAsia="lv-LV"/>
                    </w:rPr>
                    <w:t>zīmogu</w:t>
                  </w:r>
                  <w:r>
                    <w:rPr>
                      <w:rFonts w:eastAsia="Times New Roman" w:cs="Times New Roman"/>
                      <w:szCs w:val="24"/>
                      <w:lang w:eastAsia="lv-LV"/>
                    </w:rPr>
                    <w:t>.</w:t>
                  </w:r>
                </w:p>
              </w:tc>
            </w:tr>
          </w:tbl>
          <w:p w14:paraId="4BE0263F" w14:textId="77777777" w:rsidR="00803B30" w:rsidRPr="000A4077" w:rsidRDefault="00803B30" w:rsidP="00B55A9B">
            <w:pPr>
              <w:widowControl w:val="0"/>
              <w:spacing w:before="60" w:after="60" w:line="360" w:lineRule="auto"/>
              <w:rPr>
                <w:rFonts w:eastAsia="Times New Roman" w:cs="Times New Roman"/>
                <w:i/>
                <w:szCs w:val="20"/>
                <w:lang w:val="de-DE" w:eastAsia="lv-LV"/>
              </w:rPr>
            </w:pPr>
          </w:p>
        </w:tc>
      </w:tr>
      <w:bookmarkEnd w:id="3"/>
    </w:tbl>
    <w:p w14:paraId="2D8543FF" w14:textId="77777777" w:rsidR="00803B30" w:rsidRPr="000A4077" w:rsidRDefault="00803B30" w:rsidP="00803B30">
      <w:pPr>
        <w:keepLines/>
        <w:widowControl w:val="0"/>
        <w:spacing w:before="120"/>
        <w:ind w:firstLine="0"/>
        <w:jc w:val="left"/>
        <w:rPr>
          <w:rFonts w:eastAsia="Times New Roman" w:cs="Times New Roman"/>
          <w:sz w:val="26"/>
          <w:szCs w:val="20"/>
        </w:rPr>
      </w:pPr>
    </w:p>
    <w:p w14:paraId="6C8E6992" w14:textId="77777777" w:rsidR="00803B30" w:rsidRDefault="00803B30" w:rsidP="00803B30">
      <w:pPr>
        <w:widowControl w:val="0"/>
        <w:autoSpaceDE w:val="0"/>
        <w:autoSpaceDN w:val="0"/>
        <w:adjustRightInd w:val="0"/>
        <w:ind w:firstLine="0"/>
        <w:jc w:val="left"/>
        <w:rPr>
          <w:rFonts w:eastAsia="Times New Roman" w:cs="Times New Roman"/>
          <w:iCs/>
          <w:szCs w:val="20"/>
        </w:rPr>
      </w:pPr>
    </w:p>
    <w:p w14:paraId="2E75015F" w14:textId="48B5918B" w:rsidR="00803B30" w:rsidRDefault="00803B30" w:rsidP="00803B30">
      <w:pPr>
        <w:widowControl w:val="0"/>
        <w:autoSpaceDE w:val="0"/>
        <w:autoSpaceDN w:val="0"/>
        <w:adjustRightInd w:val="0"/>
        <w:ind w:firstLine="0"/>
        <w:jc w:val="left"/>
        <w:rPr>
          <w:rFonts w:eastAsia="Times New Roman" w:cs="Times New Roman"/>
          <w:iCs/>
          <w:szCs w:val="20"/>
        </w:rPr>
      </w:pPr>
    </w:p>
    <w:p w14:paraId="789D5D0E" w14:textId="77777777" w:rsidR="00C63A0B" w:rsidRDefault="00C63A0B" w:rsidP="00803B30">
      <w:pPr>
        <w:widowControl w:val="0"/>
        <w:autoSpaceDE w:val="0"/>
        <w:autoSpaceDN w:val="0"/>
        <w:adjustRightInd w:val="0"/>
        <w:ind w:firstLine="0"/>
        <w:jc w:val="left"/>
        <w:rPr>
          <w:rFonts w:eastAsia="Times New Roman" w:cs="Times New Roman"/>
          <w:iCs/>
          <w:szCs w:val="20"/>
        </w:rPr>
      </w:pPr>
    </w:p>
    <w:p w14:paraId="59C272C0" w14:textId="77777777" w:rsidR="00803B30" w:rsidRPr="0098750E" w:rsidRDefault="00803B30" w:rsidP="00803B30">
      <w:pPr>
        <w:widowControl w:val="0"/>
        <w:autoSpaceDE w:val="0"/>
        <w:autoSpaceDN w:val="0"/>
        <w:adjustRightInd w:val="0"/>
        <w:ind w:firstLine="0"/>
        <w:jc w:val="left"/>
        <w:rPr>
          <w:rFonts w:eastAsia="Times New Roman" w:cs="Times New Roman"/>
          <w:b/>
          <w:bCs/>
          <w:iCs/>
          <w:szCs w:val="24"/>
        </w:rPr>
      </w:pPr>
      <w:bookmarkStart w:id="4" w:name="sagatavoja"/>
      <w:r>
        <w:rPr>
          <w:rFonts w:eastAsia="Times New Roman" w:cs="Times New Roman"/>
          <w:iCs/>
          <w:szCs w:val="24"/>
        </w:rPr>
        <w:t>Balčus 63423832,</w:t>
      </w:r>
      <w:r>
        <w:rPr>
          <w:rFonts w:eastAsia="Times New Roman" w:cs="Times New Roman"/>
          <w:iCs/>
          <w:szCs w:val="24"/>
        </w:rPr>
        <w:br/>
        <w:t>Anrijs.Balcus@lvceli.lv</w:t>
      </w:r>
    </w:p>
    <w:bookmarkEnd w:id="4"/>
    <w:p w14:paraId="2953468E" w14:textId="77777777" w:rsidR="002214AB" w:rsidRPr="007B7986" w:rsidRDefault="002214AB" w:rsidP="007B7986">
      <w:pPr>
        <w:pStyle w:val="Veidlapam"/>
      </w:pPr>
    </w:p>
    <w:p w14:paraId="7AC66F34" w14:textId="00BC0A8D" w:rsidR="00211DCE" w:rsidRDefault="00211DCE" w:rsidP="00FE6A34"/>
    <w:p w14:paraId="6CF7FD44" w14:textId="3A8E8231" w:rsidR="002214AB" w:rsidRDefault="002214AB" w:rsidP="00211DCE"/>
    <w:sectPr w:rsidR="002214AB" w:rsidSect="00F6454D">
      <w:headerReference w:type="default" r:id="rId7"/>
      <w:footerReference w:type="default" r:id="rId8"/>
      <w:headerReference w:type="first" r:id="rId9"/>
      <w:footerReference w:type="first" r:id="rId10"/>
      <w:pgSz w:w="11906" w:h="16838"/>
      <w:pgMar w:top="1134"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FBC9" w14:textId="77777777" w:rsidR="0064739D" w:rsidRDefault="0064739D" w:rsidP="00437C2F">
      <w:r>
        <w:separator/>
      </w:r>
    </w:p>
  </w:endnote>
  <w:endnote w:type="continuationSeparator" w:id="0">
    <w:p w14:paraId="0F0AF5A2" w14:textId="77777777" w:rsidR="0064739D" w:rsidRDefault="0064739D" w:rsidP="0043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8979"/>
      <w:docPartObj>
        <w:docPartGallery w:val="Page Numbers (Bottom of Page)"/>
        <w:docPartUnique/>
      </w:docPartObj>
    </w:sdtPr>
    <w:sdtEndPr/>
    <w:sdtContent>
      <w:p w14:paraId="4B2A3CE8" w14:textId="0138F09B" w:rsidR="00F6454D" w:rsidRDefault="00F6454D">
        <w:pPr>
          <w:pStyle w:val="Footer"/>
          <w:jc w:val="right"/>
        </w:pPr>
        <w:r>
          <w:fldChar w:fldCharType="begin"/>
        </w:r>
        <w:r>
          <w:instrText>PAGE   \* MERGEFORMAT</w:instrText>
        </w:r>
        <w:r>
          <w:fldChar w:fldCharType="separate"/>
        </w:r>
        <w:r>
          <w:t>2</w:t>
        </w:r>
        <w:r>
          <w:fldChar w:fldCharType="end"/>
        </w:r>
      </w:p>
    </w:sdtContent>
  </w:sdt>
  <w:p w14:paraId="6A7895C2" w14:textId="77777777" w:rsidR="004439F3" w:rsidRDefault="004439F3" w:rsidP="00F645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5107" w14:textId="321CDE74" w:rsidR="00F6454D" w:rsidRDefault="00F6454D">
    <w:pPr>
      <w:pStyle w:val="Footer"/>
      <w:jc w:val="right"/>
    </w:pPr>
  </w:p>
  <w:p w14:paraId="7EC14ECC" w14:textId="77777777" w:rsidR="004439F3" w:rsidRDefault="0044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BCC8" w14:textId="77777777" w:rsidR="0064739D" w:rsidRDefault="0064739D" w:rsidP="00437C2F">
      <w:r>
        <w:separator/>
      </w:r>
    </w:p>
  </w:footnote>
  <w:footnote w:type="continuationSeparator" w:id="0">
    <w:p w14:paraId="38477306" w14:textId="77777777" w:rsidR="0064739D" w:rsidRDefault="0064739D" w:rsidP="0043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BEAE" w14:textId="0EC4B220" w:rsidR="00437C2F" w:rsidRDefault="00437C2F" w:rsidP="00CC3F7F">
    <w:pPr>
      <w:pStyle w:val="Header"/>
      <w:ind w:left="-1134" w:righ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526D" w14:textId="53687D81" w:rsidR="00CC3F7F" w:rsidRDefault="0043213D" w:rsidP="002350DC">
    <w:pPr>
      <w:pStyle w:val="Header"/>
      <w:ind w:left="-1134" w:firstLine="0"/>
    </w:pPr>
    <w:r>
      <w:rPr>
        <w:noProof/>
      </w:rPr>
      <w:drawing>
        <wp:inline distT="0" distB="0" distL="0" distR="0" wp14:anchorId="0C1E7A90" wp14:editId="49D03405">
          <wp:extent cx="7608570" cy="1481455"/>
          <wp:effectExtent l="0" t="0" r="0" b="0"/>
          <wp:docPr id="4294930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1481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7B76"/>
    <w:multiLevelType w:val="hybridMultilevel"/>
    <w:tmpl w:val="4D32FE5C"/>
    <w:lvl w:ilvl="0" w:tplc="BC0C873E">
      <w:start w:val="1"/>
      <w:numFmt w:val="decimal"/>
      <w:lvlText w:val="%1)"/>
      <w:lvlJc w:val="left"/>
      <w:pPr>
        <w:ind w:left="1140" w:hanging="42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5E114C1"/>
    <w:multiLevelType w:val="multilevel"/>
    <w:tmpl w:val="CC28A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8256BD"/>
    <w:multiLevelType w:val="hybridMultilevel"/>
    <w:tmpl w:val="C6BC9D6A"/>
    <w:lvl w:ilvl="0" w:tplc="14D47F58">
      <w:start w:val="1"/>
      <w:numFmt w:val="decimal"/>
      <w:lvlText w:val="%1)"/>
      <w:lvlJc w:val="left"/>
      <w:pPr>
        <w:ind w:left="1140" w:hanging="4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592055507">
    <w:abstractNumId w:val="1"/>
  </w:num>
  <w:num w:numId="2" w16cid:durableId="941255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556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382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001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997394">
    <w:abstractNumId w:val="2"/>
  </w:num>
  <w:num w:numId="7" w16cid:durableId="36432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2F"/>
    <w:rsid w:val="00026C96"/>
    <w:rsid w:val="00031D93"/>
    <w:rsid w:val="00047A33"/>
    <w:rsid w:val="0007000E"/>
    <w:rsid w:val="00085B48"/>
    <w:rsid w:val="000A6AB9"/>
    <w:rsid w:val="000C5E92"/>
    <w:rsid w:val="000F1D0D"/>
    <w:rsid w:val="000F6439"/>
    <w:rsid w:val="001065FA"/>
    <w:rsid w:val="00107DE2"/>
    <w:rsid w:val="001468EE"/>
    <w:rsid w:val="001475CD"/>
    <w:rsid w:val="00150BB8"/>
    <w:rsid w:val="00150FE0"/>
    <w:rsid w:val="001822F4"/>
    <w:rsid w:val="00191755"/>
    <w:rsid w:val="001B5274"/>
    <w:rsid w:val="001B72A5"/>
    <w:rsid w:val="001D25F7"/>
    <w:rsid w:val="001E5F67"/>
    <w:rsid w:val="001E790A"/>
    <w:rsid w:val="001F21F8"/>
    <w:rsid w:val="001F266D"/>
    <w:rsid w:val="00211DCE"/>
    <w:rsid w:val="002214AB"/>
    <w:rsid w:val="002331A0"/>
    <w:rsid w:val="002350DC"/>
    <w:rsid w:val="00244221"/>
    <w:rsid w:val="002F6A69"/>
    <w:rsid w:val="00312674"/>
    <w:rsid w:val="00312E49"/>
    <w:rsid w:val="00334EAD"/>
    <w:rsid w:val="00363C25"/>
    <w:rsid w:val="00393A7E"/>
    <w:rsid w:val="003A1C1B"/>
    <w:rsid w:val="003D1629"/>
    <w:rsid w:val="003F5036"/>
    <w:rsid w:val="003F69BE"/>
    <w:rsid w:val="0043213D"/>
    <w:rsid w:val="00437C2F"/>
    <w:rsid w:val="004439F3"/>
    <w:rsid w:val="0047259B"/>
    <w:rsid w:val="00486B98"/>
    <w:rsid w:val="004D3969"/>
    <w:rsid w:val="004D54A9"/>
    <w:rsid w:val="004D7A2A"/>
    <w:rsid w:val="00500120"/>
    <w:rsid w:val="005451A0"/>
    <w:rsid w:val="00563786"/>
    <w:rsid w:val="00585C38"/>
    <w:rsid w:val="00585FBD"/>
    <w:rsid w:val="00593BBD"/>
    <w:rsid w:val="005A19B5"/>
    <w:rsid w:val="005C1EA3"/>
    <w:rsid w:val="00614B77"/>
    <w:rsid w:val="006264BA"/>
    <w:rsid w:val="0064618A"/>
    <w:rsid w:val="0064739D"/>
    <w:rsid w:val="00671CE0"/>
    <w:rsid w:val="006761FF"/>
    <w:rsid w:val="006A34ED"/>
    <w:rsid w:val="006C2172"/>
    <w:rsid w:val="006F0498"/>
    <w:rsid w:val="006F2A94"/>
    <w:rsid w:val="006F42D4"/>
    <w:rsid w:val="00711AA6"/>
    <w:rsid w:val="00742B86"/>
    <w:rsid w:val="007669DD"/>
    <w:rsid w:val="007908C8"/>
    <w:rsid w:val="00797E8B"/>
    <w:rsid w:val="007B588C"/>
    <w:rsid w:val="007B7986"/>
    <w:rsid w:val="007D2F59"/>
    <w:rsid w:val="007E7308"/>
    <w:rsid w:val="007F212D"/>
    <w:rsid w:val="007F22B5"/>
    <w:rsid w:val="00803B30"/>
    <w:rsid w:val="00821A5C"/>
    <w:rsid w:val="0084199A"/>
    <w:rsid w:val="00857D41"/>
    <w:rsid w:val="00863A97"/>
    <w:rsid w:val="008721C8"/>
    <w:rsid w:val="00884089"/>
    <w:rsid w:val="00887574"/>
    <w:rsid w:val="00891724"/>
    <w:rsid w:val="00897E31"/>
    <w:rsid w:val="008D240A"/>
    <w:rsid w:val="008E4F3E"/>
    <w:rsid w:val="008F1F06"/>
    <w:rsid w:val="009152A6"/>
    <w:rsid w:val="00983E99"/>
    <w:rsid w:val="0098750E"/>
    <w:rsid w:val="009B7DCC"/>
    <w:rsid w:val="009C4FF4"/>
    <w:rsid w:val="009D74F0"/>
    <w:rsid w:val="009F169E"/>
    <w:rsid w:val="00AA1757"/>
    <w:rsid w:val="00AD6BDE"/>
    <w:rsid w:val="00B10B84"/>
    <w:rsid w:val="00B12DB9"/>
    <w:rsid w:val="00B74F40"/>
    <w:rsid w:val="00B77B35"/>
    <w:rsid w:val="00B92989"/>
    <w:rsid w:val="00B96F29"/>
    <w:rsid w:val="00BA29A4"/>
    <w:rsid w:val="00BA53A3"/>
    <w:rsid w:val="00BB0A98"/>
    <w:rsid w:val="00BE46DB"/>
    <w:rsid w:val="00BF2254"/>
    <w:rsid w:val="00C1243D"/>
    <w:rsid w:val="00C54A47"/>
    <w:rsid w:val="00C61314"/>
    <w:rsid w:val="00C63A0B"/>
    <w:rsid w:val="00C67520"/>
    <w:rsid w:val="00C860B6"/>
    <w:rsid w:val="00CC3F7F"/>
    <w:rsid w:val="00CD1F8E"/>
    <w:rsid w:val="00CD5037"/>
    <w:rsid w:val="00D237C9"/>
    <w:rsid w:val="00D27145"/>
    <w:rsid w:val="00D445A2"/>
    <w:rsid w:val="00D6295E"/>
    <w:rsid w:val="00E12A29"/>
    <w:rsid w:val="00E26079"/>
    <w:rsid w:val="00E344D6"/>
    <w:rsid w:val="00E3516F"/>
    <w:rsid w:val="00E6106E"/>
    <w:rsid w:val="00E62B17"/>
    <w:rsid w:val="00E62B1C"/>
    <w:rsid w:val="00E90182"/>
    <w:rsid w:val="00EC2A1B"/>
    <w:rsid w:val="00EF34BC"/>
    <w:rsid w:val="00F17096"/>
    <w:rsid w:val="00F27EB8"/>
    <w:rsid w:val="00F57F85"/>
    <w:rsid w:val="00F6127E"/>
    <w:rsid w:val="00F6454D"/>
    <w:rsid w:val="00F82864"/>
    <w:rsid w:val="00F9032D"/>
    <w:rsid w:val="00FD682F"/>
    <w:rsid w:val="00FE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0908"/>
  <w15:chartTrackingRefBased/>
  <w15:docId w15:val="{1910BC6F-17F8-4407-B598-72FC19A3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C2F"/>
    <w:pPr>
      <w:tabs>
        <w:tab w:val="center" w:pos="4513"/>
        <w:tab w:val="right" w:pos="9026"/>
      </w:tabs>
    </w:pPr>
  </w:style>
  <w:style w:type="character" w:customStyle="1" w:styleId="HeaderChar">
    <w:name w:val="Header Char"/>
    <w:basedOn w:val="DefaultParagraphFont"/>
    <w:link w:val="Header"/>
    <w:uiPriority w:val="99"/>
    <w:rsid w:val="00437C2F"/>
  </w:style>
  <w:style w:type="paragraph" w:styleId="Footer">
    <w:name w:val="footer"/>
    <w:basedOn w:val="Normal"/>
    <w:link w:val="FooterChar"/>
    <w:uiPriority w:val="99"/>
    <w:unhideWhenUsed/>
    <w:rsid w:val="00437C2F"/>
    <w:pPr>
      <w:tabs>
        <w:tab w:val="center" w:pos="4513"/>
        <w:tab w:val="right" w:pos="9026"/>
      </w:tabs>
    </w:pPr>
  </w:style>
  <w:style w:type="character" w:customStyle="1" w:styleId="FooterChar">
    <w:name w:val="Footer Char"/>
    <w:basedOn w:val="DefaultParagraphFont"/>
    <w:link w:val="Footer"/>
    <w:uiPriority w:val="99"/>
    <w:rsid w:val="00437C2F"/>
  </w:style>
  <w:style w:type="table" w:styleId="TableGrid">
    <w:name w:val="Table Grid"/>
    <w:basedOn w:val="TableNormal"/>
    <w:uiPriority w:val="59"/>
    <w:rsid w:val="0043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C2F"/>
    <w:rPr>
      <w:color w:val="0563C1" w:themeColor="hyperlink"/>
      <w:u w:val="single"/>
    </w:rPr>
  </w:style>
  <w:style w:type="character" w:styleId="UnresolvedMention">
    <w:name w:val="Unresolved Mention"/>
    <w:basedOn w:val="DefaultParagraphFont"/>
    <w:uiPriority w:val="99"/>
    <w:semiHidden/>
    <w:unhideWhenUsed/>
    <w:rsid w:val="00437C2F"/>
    <w:rPr>
      <w:color w:val="605E5C"/>
      <w:shd w:val="clear" w:color="auto" w:fill="E1DFDD"/>
    </w:rPr>
  </w:style>
  <w:style w:type="paragraph" w:styleId="EnvelopeReturn">
    <w:name w:val="envelope return"/>
    <w:basedOn w:val="Normal"/>
    <w:rsid w:val="002214AB"/>
    <w:pPr>
      <w:keepLines/>
      <w:widowControl w:val="0"/>
      <w:spacing w:before="600"/>
    </w:pPr>
    <w:rPr>
      <w:rFonts w:eastAsia="Times New Roman" w:cs="Times New Roman"/>
      <w:i/>
      <w:sz w:val="26"/>
      <w:szCs w:val="20"/>
      <w:lang w:val="en-AU"/>
    </w:rPr>
  </w:style>
  <w:style w:type="paragraph" w:styleId="BodyTextIndent">
    <w:name w:val="Body Text Indent"/>
    <w:basedOn w:val="Normal"/>
    <w:link w:val="BodyTextIndentChar"/>
    <w:rsid w:val="002214AB"/>
    <w:pPr>
      <w:widowControl w:val="0"/>
      <w:spacing w:before="60" w:after="60" w:line="360" w:lineRule="auto"/>
    </w:pPr>
    <w:rPr>
      <w:rFonts w:eastAsia="Times New Roman" w:cs="Times New Roman"/>
      <w:i/>
      <w:szCs w:val="20"/>
      <w:lang w:eastAsia="lv-LV"/>
    </w:rPr>
  </w:style>
  <w:style w:type="character" w:customStyle="1" w:styleId="BodyTextIndentChar">
    <w:name w:val="Body Text Indent Char"/>
    <w:basedOn w:val="DefaultParagraphFont"/>
    <w:link w:val="BodyTextIndent"/>
    <w:rsid w:val="002214AB"/>
    <w:rPr>
      <w:rFonts w:ascii="Times New Roman" w:eastAsia="Times New Roman" w:hAnsi="Times New Roman" w:cs="Times New Roman"/>
      <w:i/>
      <w:sz w:val="24"/>
      <w:szCs w:val="20"/>
      <w:lang w:eastAsia="lv-LV"/>
    </w:rPr>
  </w:style>
  <w:style w:type="paragraph" w:styleId="NoSpacing">
    <w:name w:val="No Spacing"/>
    <w:uiPriority w:val="1"/>
    <w:qFormat/>
    <w:rsid w:val="002214AB"/>
    <w:rPr>
      <w:rFonts w:ascii="Montserrat" w:hAnsi="Montserrat"/>
    </w:rPr>
  </w:style>
  <w:style w:type="paragraph" w:customStyle="1" w:styleId="Veidlapam">
    <w:name w:val="Veidlapam"/>
    <w:basedOn w:val="Normal"/>
    <w:qFormat/>
    <w:rsid w:val="00BA53A3"/>
  </w:style>
  <w:style w:type="table" w:customStyle="1" w:styleId="Reatabula1">
    <w:name w:val="Režģa tabula1"/>
    <w:basedOn w:val="TableNormal"/>
    <w:next w:val="TableGrid"/>
    <w:uiPriority w:val="59"/>
    <w:rsid w:val="00803B30"/>
    <w:pPr>
      <w:ind w:firstLine="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DC"/>
    <w:rPr>
      <w:rFonts w:ascii="Segoe UI" w:hAnsi="Segoe UI" w:cs="Segoe UI"/>
      <w:sz w:val="18"/>
      <w:szCs w:val="18"/>
    </w:rPr>
  </w:style>
  <w:style w:type="paragraph" w:styleId="BodyText">
    <w:name w:val="Body Text"/>
    <w:basedOn w:val="Normal"/>
    <w:link w:val="BodyTextChar"/>
    <w:uiPriority w:val="99"/>
    <w:semiHidden/>
    <w:unhideWhenUsed/>
    <w:rsid w:val="001B72A5"/>
    <w:pPr>
      <w:spacing w:after="120"/>
    </w:pPr>
  </w:style>
  <w:style w:type="character" w:customStyle="1" w:styleId="BodyTextChar">
    <w:name w:val="Body Text Char"/>
    <w:basedOn w:val="DefaultParagraphFont"/>
    <w:link w:val="BodyText"/>
    <w:uiPriority w:val="99"/>
    <w:semiHidden/>
    <w:rsid w:val="001B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446830">
      <w:bodyDiv w:val="1"/>
      <w:marLeft w:val="0"/>
      <w:marRight w:val="0"/>
      <w:marTop w:val="0"/>
      <w:marBottom w:val="0"/>
      <w:divBdr>
        <w:top w:val="none" w:sz="0" w:space="0" w:color="auto"/>
        <w:left w:val="none" w:sz="0" w:space="0" w:color="auto"/>
        <w:bottom w:val="none" w:sz="0" w:space="0" w:color="auto"/>
        <w:right w:val="none" w:sz="0" w:space="0" w:color="auto"/>
      </w:divBdr>
    </w:div>
    <w:div w:id="17311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4</DocSecurity>
  <Lines>19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LVC</dc:creator>
  <cp:keywords/>
  <dc:description/>
  <cp:lastModifiedBy>Liene Goba</cp:lastModifiedBy>
  <cp:revision>2</cp:revision>
  <dcterms:created xsi:type="dcterms:W3CDTF">2024-09-17T07:51:00Z</dcterms:created>
  <dcterms:modified xsi:type="dcterms:W3CDTF">2024-09-17T07:51:00Z</dcterms:modified>
  <cp:contentStatus>Pēdējais</cp:contentStatus>
</cp:coreProperties>
</file>